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36" w:rsidRPr="00F50869" w:rsidRDefault="00C65936" w:rsidP="00F5086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rtl/>
          <w:lang w:bidi="he-IL"/>
        </w:rPr>
      </w:pPr>
      <w:r w:rsidRPr="00F50869">
        <w:rPr>
          <w:rFonts w:ascii="Times New Roman" w:eastAsia="Times New Roman" w:hAnsi="Times New Roman" w:cs="Times New Roman" w:hint="cs"/>
          <w:color w:val="000000"/>
          <w:sz w:val="32"/>
          <w:szCs w:val="32"/>
          <w:u w:val="single"/>
          <w:rtl/>
          <w:lang w:bidi="he-IL"/>
        </w:rPr>
        <w:t>פריז'ה / מנגל עגול לכיריים</w:t>
      </w:r>
    </w:p>
    <w:p w:rsidR="00F50869" w:rsidRPr="00F50869" w:rsidRDefault="00C65936" w:rsidP="00F5086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F508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הוראות הרכבה:</w:t>
      </w:r>
    </w:p>
    <w:p w:rsidR="00C65936" w:rsidRPr="00F50869" w:rsidRDefault="00F50869" w:rsidP="00F5086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F50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  <w:lang w:bidi="he-IL"/>
        </w:rPr>
        <w:drawing>
          <wp:inline distT="0" distB="0" distL="0" distR="0">
            <wp:extent cx="1733550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36" w:rsidRPr="00C65936" w:rsidRDefault="00C65936" w:rsidP="00C6593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הוצא מתוך מתקן הגריל את השקית המכילה את הידית, הברגים והאומים.</w:t>
      </w:r>
    </w:p>
    <w:p w:rsidR="00C65936" w:rsidRPr="00C65936" w:rsidRDefault="00C65936" w:rsidP="00C6593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הכנס את הברגים בתוך החורים המותאמים בידית ואז הכנס אותם דרך המכסה, כפי שמופיע בציור.</w:t>
      </w:r>
    </w:p>
    <w:p w:rsidR="00C65936" w:rsidRPr="00F50869" w:rsidRDefault="00C65936" w:rsidP="00F50869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הדק את האומים, תוך הידוק הבורג עד לסגירה מלאה.</w:t>
      </w:r>
    </w:p>
    <w:p w:rsidR="00F50869" w:rsidRPr="00F50869" w:rsidRDefault="00C65936" w:rsidP="00F5086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F508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הוראות שימוש:</w:t>
      </w:r>
    </w:p>
    <w:p w:rsidR="00F50869" w:rsidRPr="00C65936" w:rsidRDefault="00F50869" w:rsidP="00F508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F50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  <w:lang w:bidi="he-IL"/>
        </w:rPr>
        <w:drawing>
          <wp:inline distT="0" distB="0" distL="0" distR="0">
            <wp:extent cx="1885950" cy="27585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06" cy="277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36" w:rsidRPr="00C65936" w:rsidRDefault="00C65936" w:rsidP="00C65936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הנח את בסיס הגריל (1) על הכיריים הביתיים, וודא כי האש במרכז הגריל. מלא מים בבסיס הגריל בגובה 4-3 מ"מ. אפשר להשתמש בגריל גם ללא מים, לפי הטעם האישי ותלוי בתבשיל שתרצו להכין. </w:t>
      </w:r>
    </w:p>
    <w:p w:rsidR="00C65936" w:rsidRPr="00C65936" w:rsidRDefault="00C65936" w:rsidP="00C65936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הנח על הבסיס את הרשת  המחוררת (2). וודא שוב שהרשת במרכז מעל האש.</w:t>
      </w:r>
    </w:p>
    <w:p w:rsidR="00C65936" w:rsidRPr="00C65936" w:rsidRDefault="00C65936" w:rsidP="00C65936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הנח את המאכלים על הרשת, מבלי שהם יכסו את החור במרכז הגריל.</w:t>
      </w:r>
    </w:p>
    <w:p w:rsidR="00C65936" w:rsidRPr="00F50869" w:rsidRDefault="00C65936" w:rsidP="00F50869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סגור את הגריל עם המכסה (3).</w:t>
      </w:r>
      <w:r w:rsidRPr="00F5086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 </w:t>
      </w:r>
    </w:p>
    <w:p w:rsidR="00C65936" w:rsidRPr="00F50869" w:rsidRDefault="00C65936" w:rsidP="00F508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  <w:lang w:bidi="he-IL"/>
        </w:rPr>
      </w:pPr>
      <w:r w:rsidRPr="00F508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עצות שימושיות:</w:t>
      </w:r>
    </w:p>
    <w:p w:rsidR="00C65936" w:rsidRPr="00C65936" w:rsidRDefault="00C65936" w:rsidP="00C65936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תהליך הבישול מתבצע בזכות סירקולציה של אוויר חם, כפי שמופיע בציור. לכן, מומלץ שלא לפתוח את המכסה תוך כדי הבישול, אלא למינימום הנדרש.</w:t>
      </w:r>
    </w:p>
    <w:p w:rsidR="00C65936" w:rsidRPr="00C65936" w:rsidRDefault="00C65936" w:rsidP="00C65936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הלהבה הגדולה ביותר המומלצת היא זו שהאש שלה עוברת דרך החור המרכזי מבלי לגעת בדפנות המתכת של הגריל. אין צורך בלהבה גדולה יותר.</w:t>
      </w:r>
    </w:p>
    <w:p w:rsidR="00C65936" w:rsidRPr="00C65936" w:rsidRDefault="00D32B5C" w:rsidP="00C65936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 xml:space="preserve">פיזור החום של </w:t>
      </w:r>
      <w:r w:rsidR="003A738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ה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מנגל ל</w:t>
      </w:r>
      <w:r w:rsidR="00C65936"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כיריים  מאפשר צלייה מהירה ואחידה. המיצים והשומן הניגרים תוך כדי צלייה נאספים במגש התחתון, מבלי לייצר ריחות ועשן, ומאפשרים צלייה בריאה יותר. לכן, אין צורך להוסיף שמן בתהליך הצלייה.</w:t>
      </w:r>
    </w:p>
    <w:p w:rsidR="00C65936" w:rsidRPr="00C65936" w:rsidRDefault="00C65936" w:rsidP="00C65936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  <w:rtl/>
          <w:lang w:bidi="he-IL"/>
        </w:rPr>
      </w:pPr>
      <w:r w:rsidRPr="00C6593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לניקוי מנגל הכיריים יש להניח למתקן להתקרר, ולהשתמש בסבון כלים רגיל.</w:t>
      </w:r>
    </w:p>
    <w:p w:rsidR="00300C55" w:rsidRDefault="00300C55" w:rsidP="00C65936">
      <w:pPr>
        <w:bidi/>
        <w:rPr>
          <w:lang w:bidi="he-IL"/>
        </w:rPr>
      </w:pPr>
    </w:p>
    <w:sectPr w:rsidR="00300C55" w:rsidSect="00300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7A3"/>
    <w:multiLevelType w:val="multilevel"/>
    <w:tmpl w:val="6A4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A72EE"/>
    <w:multiLevelType w:val="multilevel"/>
    <w:tmpl w:val="EE0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671D9"/>
    <w:multiLevelType w:val="multilevel"/>
    <w:tmpl w:val="0F6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936"/>
    <w:rsid w:val="00300C55"/>
    <w:rsid w:val="003A738B"/>
    <w:rsid w:val="00A05BA7"/>
    <w:rsid w:val="00C65936"/>
    <w:rsid w:val="00D32B5C"/>
    <w:rsid w:val="00F50869"/>
    <w:rsid w:val="00F8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0D0D-056E-4A96-806F-38D806EF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4</cp:revision>
  <dcterms:created xsi:type="dcterms:W3CDTF">2017-09-03T08:56:00Z</dcterms:created>
  <dcterms:modified xsi:type="dcterms:W3CDTF">2017-12-03T09:45:00Z</dcterms:modified>
</cp:coreProperties>
</file>